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8E" w:rsidRDefault="0011588E" w:rsidP="0011588E">
      <w:pPr>
        <w:rPr>
          <w:rFonts w:ascii="仿宋_GB2312" w:eastAsia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附件2</w:t>
      </w:r>
    </w:p>
    <w:p w:rsidR="0011588E" w:rsidRDefault="0011588E" w:rsidP="0011588E">
      <w:pPr>
        <w:spacing w:afterLines="50" w:after="156"/>
        <w:jc w:val="center"/>
        <w:rPr>
          <w:rFonts w:ascii="楷体_GB2312" w:eastAsia="楷体_GB2312" w:hAnsi="宋体" w:cs="宋体"/>
          <w:b/>
          <w:bCs/>
          <w:sz w:val="36"/>
          <w:szCs w:val="36"/>
        </w:rPr>
      </w:pPr>
      <w:r>
        <w:rPr>
          <w:rFonts w:ascii="楷体_GB2312" w:eastAsia="楷体_GB2312" w:hAnsi="宋体" w:cs="宋体" w:hint="eastAsia"/>
          <w:b/>
          <w:bCs/>
          <w:sz w:val="36"/>
          <w:szCs w:val="36"/>
        </w:rPr>
        <w:t>智能制造学院教研室考核指标体系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275"/>
        <w:gridCol w:w="5265"/>
        <w:gridCol w:w="992"/>
      </w:tblGrid>
      <w:tr w:rsidR="0011588E" w:rsidTr="007B602B">
        <w:trPr>
          <w:cantSplit/>
          <w:trHeight w:val="73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一级指标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二级指标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评价内容与评分标准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分值</w:t>
            </w:r>
          </w:p>
        </w:tc>
      </w:tr>
      <w:tr w:rsidR="0011588E" w:rsidTr="007B602B">
        <w:trPr>
          <w:cantSplit/>
          <w:trHeight w:val="995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教研室</w:t>
            </w:r>
          </w:p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建设</w:t>
            </w:r>
          </w:p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（15分）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工作计划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教研室发展规划制定合理，年度工作计划方案详细，具有参与各级一流专业建设计划，执行情况良好。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11588E" w:rsidTr="007B602B">
        <w:trPr>
          <w:cantSplit/>
          <w:trHeight w:val="1115"/>
          <w:jc w:val="center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制度执行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每学期有2次专题会议，完成听课次数要求并有记录，落实答疑制度，有年度考核总结评议。组织实施</w:t>
            </w:r>
            <w:r>
              <w:rPr>
                <w:rFonts w:ascii="楷体_GB2312" w:eastAsia="楷体_GB2312" w:hAnsi="宋体" w:cs="宋体" w:hint="eastAsia"/>
                <w:sz w:val="24"/>
              </w:rPr>
              <w:t>一流专业的申报和建设工作</w:t>
            </w:r>
            <w:r>
              <w:rPr>
                <w:rFonts w:ascii="楷体_GB2312" w:eastAsia="楷体_GB2312" w:hAnsi="宋体" w:hint="eastAsia"/>
                <w:sz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10</w:t>
            </w:r>
          </w:p>
        </w:tc>
      </w:tr>
      <w:tr w:rsidR="0011588E" w:rsidTr="007B602B">
        <w:trPr>
          <w:cantSplit/>
          <w:trHeight w:val="1012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课程</w:t>
            </w:r>
          </w:p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规范</w:t>
            </w:r>
          </w:p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建设</w:t>
            </w:r>
          </w:p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（45分）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一流课程</w:t>
            </w:r>
          </w:p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建设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有一流课程建设规划，积极申报各级一流课程，并有成效。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11588E" w:rsidTr="007B602B">
        <w:trPr>
          <w:cantSplit/>
          <w:trHeight w:val="937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大纲与</w:t>
            </w:r>
          </w:p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授课计划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各门课程有规范的教学、实验、实习大纲，有经过讨论统一的授课计划，教学进度正常。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11588E" w:rsidTr="007B602B">
        <w:trPr>
          <w:cantSplit/>
          <w:trHeight w:val="1117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教材选用</w:t>
            </w:r>
          </w:p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及建设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积极选用国家级规划、新教材、优秀教材，积极自编特色教材或教辅材料。</w:t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11588E" w:rsidTr="007B602B">
        <w:trPr>
          <w:cantSplit/>
          <w:trHeight w:val="1165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教学资源</w:t>
            </w:r>
          </w:p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建设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积极推进课件、网上资源建设，课件内容每年有更新，网上资源建设水平高，更新及时，运行良好，在教学中发挥重要作用。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11588E" w:rsidTr="007B602B">
        <w:trPr>
          <w:cantSplit/>
          <w:trHeight w:val="1130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实践教学</w:t>
            </w:r>
          </w:p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建设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积极参与相关实验室建设，推进相关课程的实验项目设计和课程设计，协助学院推进校外实践教学基地建设，实施产教融合各项重大举措。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10</w:t>
            </w:r>
          </w:p>
        </w:tc>
      </w:tr>
      <w:tr w:rsidR="0011588E" w:rsidTr="007B602B">
        <w:trPr>
          <w:cantSplit/>
          <w:trHeight w:val="1147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课程思政建设</w:t>
            </w:r>
            <w:proofErr w:type="gramEnd"/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积极参与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课程思政</w:t>
            </w:r>
            <w:r>
              <w:rPr>
                <w:rFonts w:ascii="楷体_GB2312" w:eastAsia="楷体_GB2312" w:hAnsi="宋体" w:cs="宋体" w:hint="eastAsia"/>
                <w:sz w:val="24"/>
              </w:rPr>
              <w:t>建设</w:t>
            </w:r>
            <w:proofErr w:type="gramEnd"/>
            <w:r>
              <w:rPr>
                <w:rFonts w:ascii="楷体_GB2312" w:eastAsia="楷体_GB2312" w:hAnsi="宋体" w:cs="宋体" w:hint="eastAsia"/>
                <w:sz w:val="24"/>
              </w:rPr>
              <w:t>，推进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课程思政</w:t>
            </w:r>
            <w:r>
              <w:rPr>
                <w:rFonts w:ascii="楷体_GB2312" w:eastAsia="楷体_GB2312" w:hAnsi="宋体" w:cs="宋体" w:hint="eastAsia"/>
                <w:sz w:val="24"/>
              </w:rPr>
              <w:t>的</w:t>
            </w:r>
            <w:proofErr w:type="gramEnd"/>
            <w:r>
              <w:rPr>
                <w:rFonts w:ascii="楷体_GB2312" w:eastAsia="楷体_GB2312" w:hAnsi="宋体" w:cs="宋体" w:hint="eastAsia"/>
                <w:sz w:val="24"/>
              </w:rPr>
              <w:t>教学设计和课堂实践，积极申报各</w:t>
            </w:r>
            <w:r>
              <w:rPr>
                <w:rFonts w:ascii="楷体_GB2312" w:eastAsia="楷体_GB2312" w:hAnsi="宋体" w:hint="eastAsia"/>
                <w:sz w:val="24"/>
              </w:rPr>
              <w:t>级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课程思政建设项目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10</w:t>
            </w:r>
          </w:p>
        </w:tc>
      </w:tr>
      <w:tr w:rsidR="0011588E" w:rsidTr="007B602B">
        <w:trPr>
          <w:cantSplit/>
          <w:trHeight w:val="1285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试卷管理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试题经过课程组认真讨论，出题严谨；试卷批阅前经过课程组集体讨论，评分尺度一致；试卷分析清晰，能反映教与学之间存在的问题，试卷归档完整。逐步建设</w:t>
            </w:r>
            <w:r>
              <w:rPr>
                <w:rFonts w:ascii="楷体_GB2312" w:eastAsia="楷体_GB2312" w:hAnsi="宋体" w:hint="eastAsia"/>
                <w:sz w:val="24"/>
              </w:rPr>
              <w:t>试题库。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11588E" w:rsidTr="007B602B">
        <w:trPr>
          <w:cantSplit/>
          <w:trHeight w:val="1087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课程</w:t>
            </w:r>
          </w:p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教学</w:t>
            </w:r>
          </w:p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管理</w:t>
            </w:r>
          </w:p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（15分）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教学观摩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听课制度完善，执行情况良好。设立观摩教学或公开课，并有集体评课，观摩教学记录完整。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10</w:t>
            </w:r>
          </w:p>
        </w:tc>
      </w:tr>
      <w:tr w:rsidR="0011588E" w:rsidTr="007B602B">
        <w:trPr>
          <w:cantSplit/>
          <w:trHeight w:val="1072"/>
          <w:jc w:val="center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学生座谈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组织学生座谈，了解学生的课程学情，并及时在教学方法和手段上不断创新，有完整的会议记录。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11588E" w:rsidTr="007B602B">
        <w:trPr>
          <w:cantSplit/>
          <w:trHeight w:val="862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课程</w:t>
            </w:r>
          </w:p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教学</w:t>
            </w:r>
          </w:p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改革</w:t>
            </w:r>
          </w:p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（25分）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教研活动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积极</w:t>
            </w:r>
            <w:r>
              <w:rPr>
                <w:rFonts w:ascii="楷体_GB2312" w:eastAsia="楷体_GB2312" w:hAnsi="宋体" w:cs="宋体" w:hint="eastAsia"/>
                <w:sz w:val="24"/>
              </w:rPr>
              <w:t>举办与</w:t>
            </w:r>
            <w:r>
              <w:rPr>
                <w:rFonts w:ascii="楷体_GB2312" w:eastAsia="楷体_GB2312" w:hAnsi="宋体" w:cs="宋体"/>
                <w:sz w:val="24"/>
              </w:rPr>
              <w:t>教学、人才培养相关</w:t>
            </w:r>
            <w:r>
              <w:rPr>
                <w:rFonts w:ascii="楷体_GB2312" w:eastAsia="楷体_GB2312" w:hAnsi="宋体" w:cs="宋体" w:hint="eastAsia"/>
                <w:sz w:val="24"/>
              </w:rPr>
              <w:t>教研活动或</w:t>
            </w:r>
            <w:r>
              <w:rPr>
                <w:rFonts w:ascii="楷体_GB2312" w:eastAsia="楷体_GB2312" w:hAnsi="宋体" w:cs="宋体"/>
                <w:sz w:val="24"/>
              </w:rPr>
              <w:t>讲座</w:t>
            </w:r>
            <w:r>
              <w:rPr>
                <w:rFonts w:ascii="楷体_GB2312" w:eastAsia="楷体_GB2312" w:hAnsi="宋体" w:cs="宋体" w:hint="eastAsia"/>
                <w:sz w:val="24"/>
              </w:rPr>
              <w:t>，协助学院举办教学名师讲坛。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11588E" w:rsidTr="007B602B">
        <w:trPr>
          <w:cantSplit/>
          <w:trHeight w:val="1010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教学改革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有校级及以上教改立项，有一定数量的教学研究论文</w:t>
            </w:r>
            <w:r>
              <w:rPr>
                <w:rFonts w:ascii="楷体_GB2312" w:eastAsia="楷体_GB2312" w:hAnsi="宋体" w:hint="eastAsia"/>
                <w:sz w:val="24"/>
              </w:rPr>
              <w:t>，</w:t>
            </w:r>
            <w:r>
              <w:rPr>
                <w:rFonts w:ascii="楷体_GB2312" w:eastAsia="楷体_GB2312" w:hAnsi="宋体"/>
                <w:sz w:val="24"/>
              </w:rPr>
              <w:t>出版</w:t>
            </w:r>
            <w:r>
              <w:rPr>
                <w:rFonts w:ascii="楷体_GB2312" w:eastAsia="楷体_GB2312" w:hAnsi="宋体" w:hint="eastAsia"/>
                <w:sz w:val="24"/>
              </w:rPr>
              <w:t>本课程（群）</w:t>
            </w:r>
            <w:r>
              <w:rPr>
                <w:rFonts w:ascii="楷体_GB2312" w:eastAsia="楷体_GB2312" w:hAnsi="宋体"/>
                <w:sz w:val="24"/>
              </w:rPr>
              <w:t>教材</w:t>
            </w:r>
            <w:r>
              <w:rPr>
                <w:rFonts w:ascii="楷体_GB2312" w:eastAsia="楷体_GB2312" w:hAnsi="宋体" w:hint="eastAsia"/>
                <w:sz w:val="24"/>
              </w:rPr>
              <w:t>，课程建设取得标志性成果，如各级一流课程立项等。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11588E" w:rsidTr="007B602B">
        <w:trPr>
          <w:cantSplit/>
          <w:trHeight w:val="810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教学获奖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获各级一流课程建设、教学成果奖、教材奖等教学有关的奖项。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11588E" w:rsidTr="007B602B">
        <w:trPr>
          <w:cantSplit/>
          <w:trHeight w:val="1057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教师教学发展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充分发挥对青年教师的传帮带作用，团队中获得校级及以上教师名师、教坛新秀、教学团队称号。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11588E" w:rsidTr="007B602B">
        <w:trPr>
          <w:cantSplit/>
          <w:trHeight w:val="1565"/>
          <w:jc w:val="center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课程思政</w:t>
            </w:r>
            <w:proofErr w:type="gramEnd"/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有校级及以上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课程思政项目</w:t>
            </w:r>
            <w:proofErr w:type="gramEnd"/>
            <w:r>
              <w:rPr>
                <w:rFonts w:ascii="楷体_GB2312" w:eastAsia="楷体_GB2312" w:hAnsi="宋体" w:cs="宋体" w:hint="eastAsia"/>
                <w:sz w:val="24"/>
              </w:rPr>
              <w:t>，有一定数量的课程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思政</w:t>
            </w:r>
            <w:r>
              <w:rPr>
                <w:rFonts w:ascii="楷体_GB2312" w:eastAsia="楷体_GB2312" w:hAnsi="宋体" w:cs="宋体" w:hint="eastAsia"/>
                <w:sz w:val="24"/>
              </w:rPr>
              <w:t>教学</w:t>
            </w:r>
            <w:proofErr w:type="gramEnd"/>
            <w:r>
              <w:rPr>
                <w:rFonts w:ascii="楷体_GB2312" w:eastAsia="楷体_GB2312" w:hAnsi="宋体" w:cs="宋体" w:hint="eastAsia"/>
                <w:sz w:val="24"/>
              </w:rPr>
              <w:t>研究论文</w:t>
            </w:r>
            <w:r>
              <w:rPr>
                <w:rFonts w:ascii="楷体_GB2312" w:eastAsia="楷体_GB2312" w:hAnsi="宋体" w:hint="eastAsia"/>
                <w:sz w:val="24"/>
              </w:rPr>
              <w:t>，积极</w:t>
            </w:r>
            <w:r>
              <w:rPr>
                <w:rFonts w:ascii="楷体_GB2312" w:eastAsia="楷体_GB2312" w:hAnsi="宋体" w:cs="宋体" w:hint="eastAsia"/>
                <w:sz w:val="24"/>
              </w:rPr>
              <w:t>举办与</w:t>
            </w:r>
            <w:r>
              <w:rPr>
                <w:rFonts w:ascii="楷体_GB2312" w:eastAsia="楷体_GB2312" w:hAnsi="宋体" w:hint="eastAsia"/>
                <w:sz w:val="24"/>
              </w:rPr>
              <w:t>课程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思政</w:t>
            </w:r>
            <w:r>
              <w:rPr>
                <w:rFonts w:ascii="楷体_GB2312" w:eastAsia="楷体_GB2312" w:hAnsi="宋体" w:cs="宋体"/>
                <w:sz w:val="24"/>
              </w:rPr>
              <w:t>相关</w:t>
            </w:r>
            <w:proofErr w:type="gramEnd"/>
            <w:r>
              <w:rPr>
                <w:rFonts w:ascii="楷体_GB2312" w:eastAsia="楷体_GB2312" w:hAnsi="宋体" w:cs="宋体" w:hint="eastAsia"/>
                <w:sz w:val="24"/>
              </w:rPr>
              <w:t>教研活动或</w:t>
            </w:r>
            <w:r>
              <w:rPr>
                <w:rFonts w:ascii="楷体_GB2312" w:eastAsia="楷体_GB2312" w:hAnsi="宋体" w:cs="宋体"/>
                <w:sz w:val="24"/>
              </w:rPr>
              <w:t>讲座</w:t>
            </w:r>
            <w:r>
              <w:rPr>
                <w:rFonts w:ascii="楷体_GB2312" w:eastAsia="楷体_GB2312" w:hAnsi="宋体" w:hint="eastAsia"/>
                <w:sz w:val="24"/>
              </w:rPr>
              <w:t>，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课程思政建设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取得标志性成果，如省级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课程思政示范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课程等。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8E" w:rsidRDefault="0011588E" w:rsidP="007B602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</w:tbl>
    <w:p w:rsidR="00E332E3" w:rsidRDefault="00E332E3">
      <w:bookmarkStart w:id="0" w:name="_GoBack"/>
      <w:bookmarkEnd w:id="0"/>
    </w:p>
    <w:sectPr w:rsidR="00E3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8E"/>
    <w:rsid w:val="0011588E"/>
    <w:rsid w:val="00E3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58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Char"/>
    <w:uiPriority w:val="99"/>
    <w:semiHidden/>
    <w:unhideWhenUsed/>
    <w:rsid w:val="0011588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0"/>
    <w:uiPriority w:val="99"/>
    <w:semiHidden/>
    <w:rsid w:val="0011588E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58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Char"/>
    <w:uiPriority w:val="99"/>
    <w:semiHidden/>
    <w:unhideWhenUsed/>
    <w:rsid w:val="0011588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0"/>
    <w:uiPriority w:val="99"/>
    <w:semiHidden/>
    <w:rsid w:val="0011588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HP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2022-10-24T09:01:00Z</dcterms:created>
  <dcterms:modified xsi:type="dcterms:W3CDTF">2022-10-24T09:02:00Z</dcterms:modified>
</cp:coreProperties>
</file>